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October 9, 2014</w:t>
      </w:r>
    </w:p>
    <w:p w:rsidP="00000000" w:rsidRPr="00000000" w:rsidR="00000000" w:rsidDel="00000000" w:rsidRDefault="00000000">
      <w:pPr>
        <w:contextualSpacing w:val="0"/>
      </w:pPr>
      <w:r w:rsidRPr="00000000" w:rsidR="00000000" w:rsidDel="00000000">
        <w:rPr>
          <w:rtl w:val="0"/>
        </w:rPr>
        <w:t xml:space="preserve">Latin V</w:t>
      </w:r>
    </w:p>
    <w:p w:rsidP="00000000" w:rsidRPr="00000000" w:rsidR="00000000" w:rsidDel="00000000" w:rsidRDefault="00000000">
      <w:pPr>
        <w:contextualSpacing w:val="0"/>
        <w:jc w:val="center"/>
      </w:pPr>
      <w:r w:rsidRPr="00000000" w:rsidR="00000000" w:rsidDel="00000000">
        <w:rPr>
          <w:b w:val="1"/>
          <w:u w:val="single"/>
          <w:rtl w:val="0"/>
        </w:rPr>
        <w:t xml:space="preserve">Livy, Chapter 11</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To help you translate…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3"/>
        </w:numPr>
        <w:ind w:left="720" w:hanging="359"/>
        <w:contextualSpacing w:val="1"/>
        <w:rPr>
          <w:u w:val="none"/>
        </w:rPr>
      </w:pPr>
      <w:r w:rsidRPr="00000000" w:rsidR="00000000" w:rsidDel="00000000">
        <w:rPr>
          <w:rtl w:val="0"/>
        </w:rPr>
        <w:t xml:space="preserve">“multa” is neuter nominative plural, meaning it modifies 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0"/>
        </w:numPr>
        <w:ind w:left="720" w:hanging="359"/>
        <w:contextualSpacing w:val="1"/>
        <w:rPr>
          <w:u w:val="none"/>
        </w:rPr>
      </w:pPr>
      <w:r w:rsidRPr="00000000" w:rsidR="00000000" w:rsidDel="00000000">
        <w:rPr>
          <w:rtl w:val="0"/>
        </w:rPr>
        <w:t xml:space="preserve">“ea” is feminine ablative singular, meaning it modifies 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1"/>
        </w:numPr>
        <w:ind w:left="720" w:hanging="359"/>
        <w:contextualSpacing w:val="1"/>
        <w:rPr>
          <w:u w:val="none"/>
        </w:rPr>
      </w:pPr>
      <w:r w:rsidRPr="00000000" w:rsidR="00000000" w:rsidDel="00000000">
        <w:rPr>
          <w:rtl w:val="0"/>
        </w:rPr>
        <w:t xml:space="preserve">In the passive, “facio” can mean “happen,” so “facta sunt” (your main verb) means 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translate “solet” with “quod” (“which thing”) as its subject: 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9"/>
        </w:numPr>
        <w:ind w:left="720" w:hanging="359"/>
        <w:contextualSpacing w:val="1"/>
        <w:rPr>
          <w:u w:val="none"/>
        </w:rPr>
      </w:pPr>
      <w:r w:rsidRPr="00000000" w:rsidR="00000000" w:rsidDel="00000000">
        <w:rPr>
          <w:rtl w:val="0"/>
        </w:rPr>
        <w:t xml:space="preserve">the second “multa” (line 3) is neuter nominative plural (just like the first one). Translate “prodigia” after it: 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“credita sunt” introduces indirect speech, so after it you should include in your translation the English word 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After “credita sunt” are many things the Roman believed to have happened. Divide the big chunk from “ingenuum” to the end of line 12 up into little chunks of indirect speech. Fill in the chart: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u w:val="single"/>
          <w:rtl w:val="0"/>
        </w:rPr>
        <w:t xml:space="preserve">Accusative Subject</w:t>
        <w:tab/>
        <w:tab/>
        <w:tab/>
        <w:tab/>
        <w:t xml:space="preserve">Infinitive Verb</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infantem</w:t>
        <w:tab/>
        <w:tab/>
        <w:tab/>
        <w:tab/>
        <w:tab/>
        <w:t xml:space="preserve">clamasse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6"/>
        </w:numPr>
        <w:ind w:left="720" w:hanging="359"/>
        <w:contextualSpacing w:val="1"/>
        <w:rPr>
          <w:u w:val="none"/>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2"/>
        </w:numPr>
        <w:ind w:left="720" w:hanging="359"/>
        <w:contextualSpacing w:val="1"/>
        <w:rPr>
          <w:u w:val="none"/>
        </w:rPr>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tl w:val="0"/>
        </w:rPr>
      </w:r>
    </w:p>
    <w:p w:rsidP="00000000" w:rsidRPr="00000000" w:rsidR="00000000" w:rsidDel="00000000" w:rsidRDefault="00000000">
      <w:pPr>
        <w:numPr>
          <w:ilvl w:val="0"/>
          <w:numId w:val="8"/>
        </w:numPr>
        <w:ind w:left="720" w:hanging="359"/>
        <w:contextualSpacing w:val="1"/>
        <w:rPr>
          <w:u w:val="none"/>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5"/>
        </w:numPr>
        <w:ind w:left="720" w:hanging="359"/>
        <w:contextualSpacing w:val="1"/>
        <w:rPr>
          <w:u w:val="none"/>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Finally, Translate lines 1-7 (on back or on separate sheet).</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4"/>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6"/>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lvl w:ilvl="0">
      <w:start w:val="6"/>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lvl w:ilvl="0">
      <w:start w:val="7"/>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6">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7">
    <w:lvl w:ilvl="0">
      <w:start w:val="5"/>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8">
    <w:lvl w:ilvl="0">
      <w:start w:val="4"/>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9">
    <w:lvl w:ilvl="0">
      <w:start w:val="5"/>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0">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1">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2">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3">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v- hannibal, 11.docx</dc:title>
</cp:coreProperties>
</file>